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687"/>
        <w:gridCol w:w="3562"/>
      </w:tblGrid>
      <w:tr w:rsidR="00880783" w:rsidRPr="00AA4794" w:rsidTr="00241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50"/>
        </w:trPr>
        <w:tc>
          <w:tcPr>
            <w:tcW w:w="7688" w:type="dxa"/>
            <w:tcMar>
              <w:right w:w="288" w:type="dxa"/>
            </w:tcMar>
          </w:tcPr>
          <w:p w:rsidR="005C61E4" w:rsidRPr="00AA4794" w:rsidRDefault="00FD1E7D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color w:val="C00000"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443368</wp:posOffset>
                  </wp:positionH>
                  <wp:positionV relativeFrom="paragraph">
                    <wp:posOffset>66040</wp:posOffset>
                  </wp:positionV>
                  <wp:extent cx="1967865" cy="17551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kerjaan-plumbing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C00000"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2776330</wp:posOffset>
                  </wp:positionH>
                  <wp:positionV relativeFrom="paragraph">
                    <wp:posOffset>66261</wp:posOffset>
                  </wp:positionV>
                  <wp:extent cx="1536700" cy="2047240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_SCP_010_04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</w:p>
          <w:p w:rsidR="00FD1E7D" w:rsidRDefault="00FD1E7D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  <w:r>
              <w:rPr>
                <w:noProof/>
                <w:color w:val="C00000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119601</wp:posOffset>
                  </wp:positionH>
                  <wp:positionV relativeFrom="paragraph">
                    <wp:posOffset>67393</wp:posOffset>
                  </wp:positionV>
                  <wp:extent cx="2486025" cy="53340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ps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1683" w:rsidRPr="00FE74FA" w:rsidRDefault="00D01683" w:rsidP="00FE74FA">
            <w:pPr>
              <w:pStyle w:val="Date"/>
              <w:spacing w:before="0" w:line="240" w:lineRule="auto"/>
              <w:jc w:val="center"/>
              <w:rPr>
                <w:color w:val="auto"/>
                <w:sz w:val="24"/>
              </w:rPr>
            </w:pPr>
            <w:r w:rsidRPr="00FE74FA">
              <w:rPr>
                <w:color w:val="auto"/>
                <w:sz w:val="24"/>
              </w:rPr>
              <w:t>Position available</w:t>
            </w:r>
            <w:r w:rsidR="00FE74FA">
              <w:rPr>
                <w:color w:val="auto"/>
                <w:sz w:val="24"/>
              </w:rPr>
              <w:t>:</w:t>
            </w:r>
            <w:r w:rsidRPr="00FE74FA">
              <w:rPr>
                <w:color w:val="auto"/>
                <w:sz w:val="24"/>
              </w:rPr>
              <w:t xml:space="preserve"> </w:t>
            </w:r>
          </w:p>
          <w:p w:rsidR="005C61E4" w:rsidRDefault="007A6197" w:rsidP="00FE74FA">
            <w:pPr>
              <w:pStyle w:val="Date"/>
              <w:spacing w:before="0" w:line="240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PLUMBING</w:t>
            </w:r>
            <w:r w:rsidR="00D01683" w:rsidRPr="00241692">
              <w:rPr>
                <w:color w:val="C00000"/>
              </w:rPr>
              <w:t xml:space="preserve"> teacher</w:t>
            </w:r>
          </w:p>
          <w:p w:rsidR="0059310F" w:rsidRDefault="0059310F" w:rsidP="00D01683">
            <w:pPr>
              <w:jc w:val="both"/>
              <w:rPr>
                <w:rFonts w:ascii="Arial" w:hAnsi="Arial" w:cs="Arial"/>
                <w:b/>
                <w:color w:val="125266" w:themeColor="accent6" w:themeShade="80"/>
                <w:sz w:val="20"/>
              </w:rPr>
            </w:pPr>
          </w:p>
          <w:p w:rsidR="00FD1E7D" w:rsidRDefault="00FD1E7D" w:rsidP="00D01683">
            <w:pPr>
              <w:jc w:val="both"/>
              <w:rPr>
                <w:rFonts w:ascii="Arial" w:hAnsi="Arial" w:cs="Arial"/>
                <w:b/>
                <w:color w:val="125266" w:themeColor="accent6" w:themeShade="80"/>
                <w:sz w:val="20"/>
              </w:rPr>
            </w:pPr>
          </w:p>
          <w:p w:rsidR="00D01683" w:rsidRPr="00F3270E" w:rsidRDefault="00D01683" w:rsidP="00D01683">
            <w:pPr>
              <w:jc w:val="both"/>
              <w:rPr>
                <w:b/>
                <w:color w:val="125266" w:themeColor="accent6" w:themeShade="80"/>
                <w:sz w:val="20"/>
              </w:rPr>
            </w:pP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A rewarding teaching position is available to provide instruction for high school students in the theory and practices of </w:t>
            </w:r>
            <w:r w:rsidR="007A6197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Plumbing</w:t>
            </w: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.  Teacher collaborates with the Construction </w:t>
            </w:r>
            <w:r w:rsid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T</w:t>
            </w: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rades Foundation team of industry partners and other faculty to provide students </w:t>
            </w:r>
            <w:r w:rsidR="007A6197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with </w:t>
            </w: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hands-on experience</w:t>
            </w:r>
            <w:r w:rsidR="007A6197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s</w:t>
            </w: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 in building and selling of single-family houses as part of the Young America project, demonstrates proficiency in the </w:t>
            </w:r>
            <w:r w:rsidR="007A6197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Plumbing</w:t>
            </w: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 industry and infuses technology into the curriculum.</w:t>
            </w:r>
          </w:p>
          <w:p w:rsidR="00D01683" w:rsidRPr="00F3270E" w:rsidRDefault="00D01683" w:rsidP="00D01683">
            <w:pPr>
              <w:jc w:val="both"/>
              <w:rPr>
                <w:b/>
                <w:color w:val="125266" w:themeColor="accent6" w:themeShade="80"/>
                <w:sz w:val="20"/>
              </w:rPr>
            </w:pP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 </w:t>
            </w:r>
          </w:p>
          <w:p w:rsidR="00D01683" w:rsidRPr="00F3270E" w:rsidRDefault="00D01683" w:rsidP="00D01683">
            <w:pPr>
              <w:jc w:val="both"/>
              <w:rPr>
                <w:b/>
                <w:color w:val="125266" w:themeColor="accent6" w:themeShade="80"/>
                <w:sz w:val="20"/>
              </w:rPr>
            </w:pP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Duties will include:  Planning, conducting, and assessing classroom instructional activities following the NCCER </w:t>
            </w:r>
            <w:r w:rsidR="007A6197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plumbing</w:t>
            </w: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 curriculum </w:t>
            </w:r>
            <w:r w:rsidR="007A6197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to </w:t>
            </w:r>
            <w:r w:rsidR="00FC5629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teach</w:t>
            </w:r>
            <w:r w:rsidR="007A6197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 the installation, maintenance, and repair of many types of pipe systems. S</w:t>
            </w:r>
            <w:r w:rsidR="00F14971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tandards covered include safety; plumbing tools; plumbing math; plumbing drawings; plastic pipe and fittings; copper pipe and fittings; cast-iron pipe and fittings; carbon steel pipe and fittings; corrugated stainless steel tubing; fixtures and faucets; drain, waste, and vent systems; water distribution systems; roof, floor, and area drains; valves</w:t>
            </w:r>
            <w:r w:rsidR="00FC5629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 xml:space="preserve">; installing water heaters; fuel gas systems; hangers, supports, structural penetrations and fire stopping. </w:t>
            </w:r>
            <w:r w:rsidRPr="00F3270E">
              <w:rPr>
                <w:rFonts w:ascii="Arial" w:hAnsi="Arial" w:cs="Arial"/>
                <w:b/>
                <w:color w:val="125266" w:themeColor="accent6" w:themeShade="80"/>
                <w:sz w:val="20"/>
              </w:rPr>
              <w:t>  The instructor must maintain educational records; inventory and tool control; track achievement of desired program outcomes by coordinating and administering tests and developing and alternative instruction for individualized and independent study.</w:t>
            </w:r>
          </w:p>
          <w:p w:rsidR="00880783" w:rsidRPr="00AA4794" w:rsidRDefault="00D01683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560145</wp:posOffset>
                  </wp:positionV>
                  <wp:extent cx="4503420" cy="1501140"/>
                  <wp:effectExtent l="0" t="0" r="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ison_Logo-tex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255608" w:rsidRPr="00FD1E7D" w:rsidRDefault="00D01683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62505" cy="1334770"/>
                  <wp:effectExtent l="0" t="0" r="444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dison blo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50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608" w:rsidRPr="00FD1E7D">
              <w:rPr>
                <w:color w:val="auto"/>
                <w:sz w:val="22"/>
                <w:szCs w:val="22"/>
              </w:rPr>
              <w:t>Apply Today by</w:t>
            </w:r>
          </w:p>
          <w:p w:rsidR="00B50719" w:rsidRPr="00FD1E7D" w:rsidRDefault="00255608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>Contacting</w:t>
            </w:r>
            <w:r w:rsidR="00133D78" w:rsidRPr="00FD1E7D">
              <w:rPr>
                <w:color w:val="auto"/>
                <w:sz w:val="22"/>
                <w:szCs w:val="22"/>
              </w:rPr>
              <w:t xml:space="preserve"> Staffing</w:t>
            </w:r>
            <w:r w:rsidR="00B50719" w:rsidRPr="00FD1E7D">
              <w:rPr>
                <w:color w:val="auto"/>
                <w:sz w:val="22"/>
                <w:szCs w:val="22"/>
              </w:rPr>
              <w:t>:</w:t>
            </w:r>
          </w:p>
          <w:p w:rsidR="00255608" w:rsidRPr="00FD1E7D" w:rsidRDefault="00B50719" w:rsidP="00FD1E7D">
            <w:pPr>
              <w:pStyle w:val="Heading2"/>
              <w:shd w:val="clear" w:color="auto" w:fill="F8DEA5" w:themeFill="accent3" w:themeFillTint="66"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>Tiffany</w:t>
            </w:r>
            <w:r w:rsidR="00F20CBC" w:rsidRPr="00FD1E7D">
              <w:rPr>
                <w:color w:val="auto"/>
                <w:sz w:val="22"/>
                <w:szCs w:val="22"/>
              </w:rPr>
              <w:t>a</w:t>
            </w:r>
            <w:r w:rsidRPr="00FD1E7D">
              <w:rPr>
                <w:color w:val="auto"/>
                <w:sz w:val="22"/>
                <w:szCs w:val="22"/>
              </w:rPr>
              <w:t>nn</w:t>
            </w:r>
            <w:r w:rsidR="00F20CBC" w:rsidRPr="00FD1E7D">
              <w:rPr>
                <w:color w:val="auto"/>
                <w:sz w:val="22"/>
                <w:szCs w:val="22"/>
              </w:rPr>
              <w:t>_L_</w:t>
            </w:r>
            <w:r w:rsidRPr="00FD1E7D">
              <w:rPr>
                <w:color w:val="auto"/>
                <w:sz w:val="22"/>
                <w:szCs w:val="22"/>
              </w:rPr>
              <w:t xml:space="preserve"> Johnson</w:t>
            </w:r>
          </w:p>
          <w:p w:rsidR="00B50719" w:rsidRPr="00FD1E7D" w:rsidRDefault="00F20CBC" w:rsidP="00FD1E7D">
            <w:pPr>
              <w:pStyle w:val="Heading2"/>
              <w:shd w:val="clear" w:color="auto" w:fill="F8DEA5" w:themeFill="accent3" w:themeFillTint="66"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>@mcpsmd.org</w:t>
            </w:r>
          </w:p>
          <w:p w:rsidR="00133D78" w:rsidRPr="00FD1E7D" w:rsidRDefault="00133D78" w:rsidP="00FD1E7D">
            <w:pPr>
              <w:pStyle w:val="Heading2"/>
              <w:shd w:val="clear" w:color="auto" w:fill="F8DEA5" w:themeFill="accent3" w:themeFillTint="66"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>Or</w:t>
            </w:r>
          </w:p>
          <w:p w:rsidR="00133D78" w:rsidRPr="00FD1E7D" w:rsidRDefault="00133D78" w:rsidP="00FD1E7D">
            <w:pPr>
              <w:pStyle w:val="Heading2"/>
              <w:shd w:val="clear" w:color="auto" w:fill="F8DEA5" w:themeFill="accent3" w:themeFillTint="66"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>Principal Shawn Krasa</w:t>
            </w:r>
          </w:p>
          <w:p w:rsidR="00133D78" w:rsidRPr="00FD1E7D" w:rsidRDefault="00133D78" w:rsidP="00FD1E7D">
            <w:pPr>
              <w:pStyle w:val="Heading2"/>
              <w:shd w:val="clear" w:color="auto" w:fill="F8DEA5" w:themeFill="accent3" w:themeFillTint="66"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>240-740-2000</w:t>
            </w:r>
          </w:p>
          <w:p w:rsidR="005C61E4" w:rsidRPr="00AA4794" w:rsidRDefault="005C61E4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</w:pPr>
          </w:p>
          <w:p w:rsidR="005C61E4" w:rsidRPr="00FD1E7D" w:rsidRDefault="00133D78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 xml:space="preserve">For </w:t>
            </w:r>
            <w:r w:rsidR="00255608" w:rsidRPr="00FD1E7D">
              <w:rPr>
                <w:color w:val="auto"/>
                <w:sz w:val="22"/>
                <w:szCs w:val="22"/>
              </w:rPr>
              <w:t>Curriculum and Teaching Questions:</w:t>
            </w:r>
          </w:p>
          <w:p w:rsidR="00255608" w:rsidRPr="00FD1E7D" w:rsidRDefault="00255608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  <w:rPr>
                <w:color w:val="auto"/>
                <w:sz w:val="22"/>
                <w:szCs w:val="22"/>
              </w:rPr>
            </w:pPr>
            <w:r w:rsidRPr="00FD1E7D">
              <w:rPr>
                <w:color w:val="auto"/>
                <w:sz w:val="22"/>
                <w:szCs w:val="22"/>
              </w:rPr>
              <w:t>240-740-2050</w:t>
            </w:r>
          </w:p>
          <w:p w:rsidR="00255608" w:rsidRPr="00FD1E7D" w:rsidRDefault="00255608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  <w:rPr>
                <w:color w:val="auto"/>
                <w:sz w:val="18"/>
                <w:szCs w:val="18"/>
              </w:rPr>
            </w:pPr>
            <w:r w:rsidRPr="00FD1E7D">
              <w:rPr>
                <w:color w:val="auto"/>
                <w:sz w:val="18"/>
                <w:szCs w:val="18"/>
              </w:rPr>
              <w:t>Steven_D_Boden@mcpsmd.org</w:t>
            </w:r>
          </w:p>
          <w:p w:rsidR="005C61E4" w:rsidRPr="00FD1E7D" w:rsidRDefault="00E345A6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1193575528"/>
                <w:placeholder>
                  <w:docPart w:val="96C2CB49BCB443D7AC97867AC64248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FD1E7D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FD1E7D" w:rsidRDefault="00217260" w:rsidP="00FD1E7D">
            <w:pPr>
              <w:pStyle w:val="Heading2"/>
              <w:shd w:val="clear" w:color="auto" w:fill="F8DEA5" w:themeFill="accent3" w:themeFillTint="66"/>
              <w:spacing w:after="0"/>
              <w:outlineLvl w:val="1"/>
              <w:rPr>
                <w:color w:val="auto"/>
              </w:rPr>
            </w:pPr>
            <w:r w:rsidRPr="00FD1E7D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122662</wp:posOffset>
                  </wp:positionH>
                  <wp:positionV relativeFrom="paragraph">
                    <wp:posOffset>959399</wp:posOffset>
                  </wp:positionV>
                  <wp:extent cx="1965960" cy="1362456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3" t="28125" r="41531" b="4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36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692" w:rsidRPr="00FD1E7D">
              <w:rPr>
                <w:color w:val="auto"/>
              </w:rPr>
              <w:t>Join Our Team of Career Educators!</w:t>
            </w:r>
          </w:p>
          <w:p w:rsidR="005C61E4" w:rsidRDefault="00217260" w:rsidP="00FD1E7D">
            <w:pPr>
              <w:pStyle w:val="ContactInfo"/>
              <w:shd w:val="clear" w:color="auto" w:fill="FF0000"/>
              <w:spacing w:line="312" w:lineRule="auto"/>
            </w:pPr>
            <w:r>
              <w:t>M</w:t>
            </w:r>
            <w:r w:rsidR="00B93FF0">
              <w:t>ontgomery County Students Construction Trades Foundation, Inc.</w:t>
            </w:r>
          </w:p>
          <w:p w:rsidR="00050B68" w:rsidRDefault="00050B68" w:rsidP="00FD1E7D">
            <w:pPr>
              <w:pStyle w:val="ContactInfo"/>
              <w:shd w:val="clear" w:color="auto" w:fill="FF0000"/>
              <w:spacing w:after="0" w:line="312" w:lineRule="auto"/>
            </w:pPr>
          </w:p>
          <w:p w:rsidR="00241692" w:rsidRDefault="00B93FF0" w:rsidP="00FD1E7D">
            <w:pPr>
              <w:pStyle w:val="ContactInfo"/>
              <w:shd w:val="clear" w:color="auto" w:fill="FF0000"/>
              <w:spacing w:after="0" w:line="312" w:lineRule="auto"/>
            </w:pPr>
            <w:r>
              <w:t xml:space="preserve">12501 Dalewood Drive, </w:t>
            </w:r>
          </w:p>
          <w:p w:rsidR="00B93FF0" w:rsidRDefault="00B93FF0" w:rsidP="00FD1E7D">
            <w:pPr>
              <w:pStyle w:val="ContactInfo"/>
              <w:shd w:val="clear" w:color="auto" w:fill="FF0000"/>
              <w:spacing w:after="0" w:line="312" w:lineRule="auto"/>
            </w:pPr>
            <w:r>
              <w:t xml:space="preserve">  </w:t>
            </w:r>
            <w:r w:rsidR="00050B68">
              <w:t>Silver Spring, MD</w:t>
            </w:r>
            <w:r w:rsidR="00EF7DFB">
              <w:t xml:space="preserve"> 20906</w:t>
            </w:r>
          </w:p>
          <w:p w:rsidR="00B93FF0" w:rsidRPr="00AA4794" w:rsidRDefault="00B93FF0" w:rsidP="00FD1E7D">
            <w:pPr>
              <w:pStyle w:val="ContactInfo"/>
              <w:shd w:val="clear" w:color="auto" w:fill="002060"/>
              <w:spacing w:line="312" w:lineRule="auto"/>
              <w:jc w:val="left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47" w:rsidRDefault="007C2F47" w:rsidP="005F5D5F">
      <w:pPr>
        <w:spacing w:after="0" w:line="240" w:lineRule="auto"/>
      </w:pPr>
      <w:r>
        <w:separator/>
      </w:r>
    </w:p>
  </w:endnote>
  <w:endnote w:type="continuationSeparator" w:id="0">
    <w:p w:rsidR="007C2F47" w:rsidRDefault="007C2F4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47" w:rsidRDefault="007C2F47" w:rsidP="005F5D5F">
      <w:pPr>
        <w:spacing w:after="0" w:line="240" w:lineRule="auto"/>
      </w:pPr>
      <w:r>
        <w:separator/>
      </w:r>
    </w:p>
  </w:footnote>
  <w:footnote w:type="continuationSeparator" w:id="0">
    <w:p w:rsidR="007C2F47" w:rsidRDefault="007C2F4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47"/>
    <w:rsid w:val="000168C0"/>
    <w:rsid w:val="000427C6"/>
    <w:rsid w:val="00050B68"/>
    <w:rsid w:val="00075333"/>
    <w:rsid w:val="00076F31"/>
    <w:rsid w:val="000B4C91"/>
    <w:rsid w:val="00133D78"/>
    <w:rsid w:val="00171CDD"/>
    <w:rsid w:val="00175521"/>
    <w:rsid w:val="00181FB9"/>
    <w:rsid w:val="00217260"/>
    <w:rsid w:val="00241692"/>
    <w:rsid w:val="00251739"/>
    <w:rsid w:val="00255608"/>
    <w:rsid w:val="00261A78"/>
    <w:rsid w:val="003B6A17"/>
    <w:rsid w:val="00411532"/>
    <w:rsid w:val="005222EE"/>
    <w:rsid w:val="00541BB3"/>
    <w:rsid w:val="00544732"/>
    <w:rsid w:val="0059310F"/>
    <w:rsid w:val="005C61E4"/>
    <w:rsid w:val="005F5D5F"/>
    <w:rsid w:val="00665EA1"/>
    <w:rsid w:val="006E5B0F"/>
    <w:rsid w:val="0079199F"/>
    <w:rsid w:val="007A6197"/>
    <w:rsid w:val="007B5354"/>
    <w:rsid w:val="007C2F47"/>
    <w:rsid w:val="00837654"/>
    <w:rsid w:val="00880783"/>
    <w:rsid w:val="008B5772"/>
    <w:rsid w:val="008C031F"/>
    <w:rsid w:val="008C1756"/>
    <w:rsid w:val="008C78F5"/>
    <w:rsid w:val="008D17FF"/>
    <w:rsid w:val="008F6C52"/>
    <w:rsid w:val="009141C6"/>
    <w:rsid w:val="00921022"/>
    <w:rsid w:val="00983986"/>
    <w:rsid w:val="00A03450"/>
    <w:rsid w:val="00A97C88"/>
    <w:rsid w:val="00AA4794"/>
    <w:rsid w:val="00AB0393"/>
    <w:rsid w:val="00AB3068"/>
    <w:rsid w:val="00AB58F4"/>
    <w:rsid w:val="00AF32DC"/>
    <w:rsid w:val="00B46A60"/>
    <w:rsid w:val="00B50719"/>
    <w:rsid w:val="00B93FF0"/>
    <w:rsid w:val="00BC6ED1"/>
    <w:rsid w:val="00C57F20"/>
    <w:rsid w:val="00D01683"/>
    <w:rsid w:val="00D16845"/>
    <w:rsid w:val="00D56FBE"/>
    <w:rsid w:val="00D751DD"/>
    <w:rsid w:val="00E345A6"/>
    <w:rsid w:val="00E3564F"/>
    <w:rsid w:val="00EC1838"/>
    <w:rsid w:val="00EF7DFB"/>
    <w:rsid w:val="00F14971"/>
    <w:rsid w:val="00F20CBC"/>
    <w:rsid w:val="00F2548A"/>
    <w:rsid w:val="00F3270E"/>
    <w:rsid w:val="00FA21D4"/>
    <w:rsid w:val="00FB2003"/>
    <w:rsid w:val="00FC5629"/>
    <w:rsid w:val="00FD1E7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6C07DD7-886A-405C-B6BD-FB55993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joyc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2CB49BCB443D7AC97867AC642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847D-161C-4F98-B8CE-8D77D1E2880B}"/>
      </w:docPartPr>
      <w:docPartBody>
        <w:p w:rsidR="00CF348C" w:rsidRDefault="00CF348C">
          <w:pPr>
            <w:pStyle w:val="96C2CB49BCB443D7AC97867AC64248CF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8C"/>
    <w:rsid w:val="00C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F827AD07747C5A52C0A6CDBC0184A">
    <w:name w:val="63AF827AD07747C5A52C0A6CDBC0184A"/>
  </w:style>
  <w:style w:type="paragraph" w:customStyle="1" w:styleId="4C4DB65E541D4E4E87D79195613289FC">
    <w:name w:val="4C4DB65E541D4E4E87D79195613289FC"/>
  </w:style>
  <w:style w:type="paragraph" w:customStyle="1" w:styleId="1576E4213AC748EDB85E36B0FED257E5">
    <w:name w:val="1576E4213AC748EDB85E36B0FED257E5"/>
  </w:style>
  <w:style w:type="paragraph" w:customStyle="1" w:styleId="C61BC415583C47969C3209F3E1A4E4EF">
    <w:name w:val="C61BC415583C47969C3209F3E1A4E4EF"/>
  </w:style>
  <w:style w:type="paragraph" w:customStyle="1" w:styleId="89D67167091D4E8889D96282BF160B59">
    <w:name w:val="89D67167091D4E8889D96282BF160B59"/>
  </w:style>
  <w:style w:type="paragraph" w:customStyle="1" w:styleId="9E5F5B8C72B649D69DD190C5375E382F">
    <w:name w:val="9E5F5B8C72B649D69DD190C5375E382F"/>
  </w:style>
  <w:style w:type="paragraph" w:customStyle="1" w:styleId="49D722D5C21440409DEB54284FC65006">
    <w:name w:val="49D722D5C21440409DEB54284FC65006"/>
  </w:style>
  <w:style w:type="paragraph" w:customStyle="1" w:styleId="96C2CB49BCB443D7AC97867AC64248CF">
    <w:name w:val="96C2CB49BCB443D7AC97867AC64248CF"/>
  </w:style>
  <w:style w:type="paragraph" w:customStyle="1" w:styleId="03931C0395FF437E9ABA83ED42CA6A52">
    <w:name w:val="03931C0395FF437E9ABA83ED42CA6A52"/>
  </w:style>
  <w:style w:type="paragraph" w:customStyle="1" w:styleId="24439C4B61614ED39EEACA5E65C68E3D">
    <w:name w:val="24439C4B61614ED39EEACA5E65C68E3D"/>
  </w:style>
  <w:style w:type="paragraph" w:customStyle="1" w:styleId="D79845F3C7D54DAF9C0E69006F16BCFA">
    <w:name w:val="D79845F3C7D54DAF9C0E69006F16BCFA"/>
  </w:style>
  <w:style w:type="paragraph" w:customStyle="1" w:styleId="8BC9857FFFC94FA591FCA4214B1578F4">
    <w:name w:val="8BC9857FFFC94FA591FCA4214B1578F4"/>
  </w:style>
  <w:style w:type="paragraph" w:customStyle="1" w:styleId="E797DBD8F2B54AB89368A8E5B82D4154">
    <w:name w:val="E797DBD8F2B54AB89368A8E5B82D4154"/>
  </w:style>
  <w:style w:type="paragraph" w:customStyle="1" w:styleId="DA29A5028C8D467FB42221152123AF8D">
    <w:name w:val="DA29A5028C8D467FB42221152123AF8D"/>
  </w:style>
  <w:style w:type="paragraph" w:customStyle="1" w:styleId="F5445B482FA94401A2163A64C5C1A8ED">
    <w:name w:val="F5445B482FA94401A2163A64C5C1A8ED"/>
  </w:style>
  <w:style w:type="paragraph" w:customStyle="1" w:styleId="C4CA7EECCAD9486DA0890AF68C8FF81D">
    <w:name w:val="C4CA7EECCAD9486DA0890AF68C8FF81D"/>
  </w:style>
  <w:style w:type="paragraph" w:customStyle="1" w:styleId="89EBD3CABF054A68838C910E8DCC9FC2">
    <w:name w:val="89EBD3CABF054A68838C910E8DCC9FC2"/>
  </w:style>
  <w:style w:type="paragraph" w:customStyle="1" w:styleId="8177A1CE98FC4014B2512FA5E4079370">
    <w:name w:val="8177A1CE98FC4014B2512FA5E4079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CF7F-096D-4F1D-B5E7-26E02380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King, Joyce A</cp:lastModifiedBy>
  <cp:revision>2</cp:revision>
  <cp:lastPrinted>2019-03-26T17:56:00Z</cp:lastPrinted>
  <dcterms:created xsi:type="dcterms:W3CDTF">2019-04-25T18:23:00Z</dcterms:created>
  <dcterms:modified xsi:type="dcterms:W3CDTF">2019-04-25T18:23:00Z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